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B307" w14:textId="77777777" w:rsidR="00925730" w:rsidRPr="00925730" w:rsidRDefault="00925730" w:rsidP="00925730">
      <w:pPr>
        <w:spacing w:line="240" w:lineRule="auto"/>
        <w:rPr>
          <w:rFonts w:ascii="Helvetica" w:eastAsia="Times New Roman" w:hAnsi="Helvetica" w:cs="Helvetica"/>
          <w:vanish/>
          <w:color w:val="333333"/>
          <w:sz w:val="20"/>
          <w:szCs w:val="20"/>
          <w:lang w:eastAsia="it-IT"/>
        </w:rPr>
      </w:pPr>
      <w:r w:rsidRPr="00925730">
        <w:rPr>
          <w:rFonts w:ascii="Helvetica" w:eastAsia="Times New Roman" w:hAnsi="Helvetica" w:cs="Helvetica"/>
          <w:noProof/>
          <w:vanish/>
          <w:color w:val="00587B"/>
          <w:sz w:val="20"/>
          <w:szCs w:val="20"/>
          <w:lang w:eastAsia="it-IT"/>
        </w:rPr>
        <w:drawing>
          <wp:inline distT="0" distB="0" distL="0" distR="0" wp14:anchorId="1C6A9329" wp14:editId="3F9C42AB">
            <wp:extent cx="2377440" cy="3055620"/>
            <wp:effectExtent l="0" t="0" r="3810" b="0"/>
            <wp:docPr id="13" name="Immagine 1" descr="Current Issue cov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Issue cov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3055620"/>
                    </a:xfrm>
                    <a:prstGeom prst="rect">
                      <a:avLst/>
                    </a:prstGeom>
                    <a:noFill/>
                    <a:ln>
                      <a:noFill/>
                    </a:ln>
                  </pic:spPr>
                </pic:pic>
              </a:graphicData>
            </a:graphic>
          </wp:inline>
        </w:drawing>
      </w:r>
    </w:p>
    <w:p w14:paraId="4023D302" w14:textId="55DACFF0" w:rsidR="00925730" w:rsidRPr="00925730" w:rsidRDefault="00304243" w:rsidP="00925730">
      <w:pPr>
        <w:spacing w:line="240" w:lineRule="auto"/>
        <w:rPr>
          <w:rFonts w:ascii="Helvetica" w:eastAsia="Times New Roman" w:hAnsi="Helvetica" w:cs="Helvetica"/>
          <w:color w:val="333333"/>
          <w:sz w:val="20"/>
          <w:szCs w:val="20"/>
          <w:lang w:eastAsia="it-IT"/>
        </w:rPr>
      </w:pPr>
      <w:hyperlink r:id="rId7" w:tooltip="Click to go to homepage" w:history="1">
        <w:r w:rsidR="00925730" w:rsidRPr="00925730">
          <w:rPr>
            <w:noProof/>
            <w:lang w:eastAsia="it-IT"/>
          </w:rPr>
          <w:drawing>
            <wp:inline distT="0" distB="0" distL="0" distR="0" wp14:anchorId="4D688E62" wp14:editId="63F431E1">
              <wp:extent cx="1600200" cy="609356"/>
              <wp:effectExtent l="0" t="0" r="0" b="635"/>
              <wp:docPr id="11" name="Immagine 3" descr="Cosmetics &amp; Toiletries">
                <a:hlinkClick xmlns:a="http://schemas.openxmlformats.org/drawingml/2006/main" r:id="rId7" tooltip="&quot;Click to go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metics &amp; Toiletries">
                        <a:hlinkClick r:id="rId7" tooltip="&quot;Click to go to homepag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12" cy="623374"/>
                      </a:xfrm>
                      <a:prstGeom prst="rect">
                        <a:avLst/>
                      </a:prstGeom>
                      <a:noFill/>
                      <a:ln>
                        <a:noFill/>
                      </a:ln>
                    </pic:spPr>
                  </pic:pic>
                </a:graphicData>
              </a:graphic>
            </wp:inline>
          </w:drawing>
        </w:r>
      </w:hyperlink>
    </w:p>
    <w:p w14:paraId="02D6AF69" w14:textId="77777777" w:rsidR="00925730" w:rsidRPr="00925730" w:rsidRDefault="00925730" w:rsidP="00925730">
      <w:pPr>
        <w:spacing w:before="165" w:after="165" w:line="240" w:lineRule="atLeast"/>
        <w:outlineLvl w:val="3"/>
        <w:rPr>
          <w:rFonts w:ascii="Aldrich" w:eastAsia="Times New Roman" w:hAnsi="Aldrich" w:cs="Helvetica"/>
          <w:b/>
          <w:bCs/>
          <w:caps/>
          <w:vanish/>
          <w:color w:val="BBBBBB"/>
          <w:spacing w:val="26"/>
          <w:sz w:val="17"/>
          <w:szCs w:val="18"/>
          <w:lang w:eastAsia="it-IT"/>
        </w:rPr>
      </w:pPr>
      <w:r w:rsidRPr="00925730">
        <w:rPr>
          <w:rFonts w:ascii="Aldrich" w:eastAsia="Times New Roman" w:hAnsi="Aldrich" w:cs="Helvetica"/>
          <w:b/>
          <w:bCs/>
          <w:caps/>
          <w:vanish/>
          <w:color w:val="BBBBBB"/>
          <w:spacing w:val="26"/>
          <w:sz w:val="17"/>
          <w:szCs w:val="18"/>
          <w:lang w:eastAsia="it-IT"/>
        </w:rPr>
        <w:t>Regulatory &gt; Updates by Region &gt; Europe</w:t>
      </w:r>
    </w:p>
    <w:p w14:paraId="4BFF53DF" w14:textId="08EF04F3" w:rsidR="00925730" w:rsidRPr="00925730" w:rsidRDefault="00925730" w:rsidP="00925730">
      <w:pPr>
        <w:spacing w:before="75" w:after="165" w:line="240" w:lineRule="auto"/>
        <w:outlineLvl w:val="1"/>
        <w:rPr>
          <w:rFonts w:ascii="Helvetica" w:eastAsia="Times New Roman" w:hAnsi="Helvetica" w:cs="Helvetica"/>
          <w:b/>
          <w:bCs/>
          <w:color w:val="333333"/>
          <w:kern w:val="36"/>
          <w:sz w:val="44"/>
          <w:szCs w:val="44"/>
          <w:lang w:val="en-US" w:eastAsia="it-IT"/>
        </w:rPr>
      </w:pPr>
      <w:r w:rsidRPr="00925730">
        <w:rPr>
          <w:rFonts w:ascii="Helvetica" w:eastAsia="Times New Roman" w:hAnsi="Helvetica" w:cs="Helvetica"/>
          <w:b/>
          <w:bCs/>
          <w:color w:val="333333"/>
          <w:kern w:val="36"/>
          <w:sz w:val="44"/>
          <w:szCs w:val="44"/>
          <w:lang w:val="en-US" w:eastAsia="it-IT"/>
        </w:rPr>
        <w:t>Butylparaben Blacklisted as ECHA Substance of High Concern</w:t>
      </w:r>
      <w:r w:rsidRPr="00925730">
        <w:rPr>
          <w:rFonts w:ascii="Verdana" w:eastAsia="Times New Roman" w:hAnsi="Verdana" w:cs="Helvetica"/>
          <w:noProof/>
          <w:color w:val="333333"/>
          <w:sz w:val="17"/>
          <w:szCs w:val="17"/>
          <w:lang w:eastAsia="it-IT"/>
        </w:rPr>
        <mc:AlternateContent>
          <mc:Choice Requires="wps">
            <w:drawing>
              <wp:inline distT="0" distB="0" distL="0" distR="0" wp14:anchorId="09B7C47E" wp14:editId="549D92BA">
                <wp:extent cx="304800" cy="304800"/>
                <wp:effectExtent l="0" t="0" r="0" b="0"/>
                <wp:docPr id="1" name="AutoShape 13" descr="print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E749D" id="AutoShape 13" o:spid="_x0000_s1026" alt="print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cAT3/kBAADi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1D41778B" w14:textId="77777777" w:rsidR="00925730" w:rsidRPr="00925730" w:rsidRDefault="00925730" w:rsidP="00925730">
      <w:pPr>
        <w:spacing w:before="165" w:after="165" w:line="240" w:lineRule="auto"/>
        <w:outlineLvl w:val="5"/>
        <w:rPr>
          <w:rFonts w:ascii="minion-pro" w:eastAsia="Times New Roman" w:hAnsi="minion-pro" w:cs="Helvetica"/>
          <w:color w:val="333333"/>
          <w:sz w:val="27"/>
          <w:szCs w:val="27"/>
          <w:lang w:val="en-US" w:eastAsia="it-IT"/>
        </w:rPr>
      </w:pPr>
      <w:r w:rsidRPr="00925730">
        <w:rPr>
          <w:rFonts w:ascii="minion-pro" w:eastAsia="Times New Roman" w:hAnsi="minion-pro" w:cs="Helvetica"/>
          <w:color w:val="666666"/>
          <w:sz w:val="27"/>
          <w:szCs w:val="27"/>
          <w:lang w:val="en-US" w:eastAsia="it-IT"/>
        </w:rPr>
        <w:t>June 25, 2020</w:t>
      </w:r>
      <w:r w:rsidRPr="00925730">
        <w:rPr>
          <w:rFonts w:ascii="minion-pro" w:eastAsia="Times New Roman" w:hAnsi="minion-pro" w:cs="Helvetica"/>
          <w:color w:val="333333"/>
          <w:sz w:val="27"/>
          <w:szCs w:val="27"/>
          <w:lang w:val="en-US" w:eastAsia="it-IT"/>
        </w:rPr>
        <w:t xml:space="preserve"> </w:t>
      </w:r>
      <w:hyperlink r:id="rId9" w:anchor="2" w:history="1">
        <w:r w:rsidRPr="00925730">
          <w:rPr>
            <w:rFonts w:ascii="minion-pro" w:eastAsia="Times New Roman" w:hAnsi="minion-pro" w:cs="Times New Roman"/>
            <w:color w:val="00587B"/>
            <w:sz w:val="27"/>
            <w:szCs w:val="27"/>
            <w:lang w:val="en-US" w:eastAsia="it-IT"/>
          </w:rPr>
          <w:t>Contact Author</w:t>
        </w:r>
      </w:hyperlink>
      <w:r w:rsidRPr="00925730">
        <w:rPr>
          <w:rFonts w:ascii="minion-pro" w:eastAsia="Times New Roman" w:hAnsi="minion-pro" w:cs="Helvetica"/>
          <w:color w:val="333333"/>
          <w:sz w:val="27"/>
          <w:szCs w:val="27"/>
          <w:lang w:val="en-US" w:eastAsia="it-IT"/>
        </w:rPr>
        <w:t xml:space="preserve"> </w:t>
      </w:r>
      <w:r w:rsidRPr="00925730">
        <w:rPr>
          <w:rFonts w:ascii="minion-pro" w:eastAsia="Times New Roman" w:hAnsi="minion-pro" w:cs="Helvetica"/>
          <w:color w:val="666666"/>
          <w:sz w:val="27"/>
          <w:szCs w:val="27"/>
          <w:lang w:val="en-US" w:eastAsia="it-IT"/>
        </w:rPr>
        <w:t>Michele Behrens</w:t>
      </w:r>
      <w:r w:rsidRPr="00925730">
        <w:rPr>
          <w:rFonts w:ascii="minion-pro" w:eastAsia="Times New Roman" w:hAnsi="minion-pro" w:cs="Helvetica"/>
          <w:color w:val="333333"/>
          <w:sz w:val="27"/>
          <w:szCs w:val="27"/>
          <w:lang w:val="en-US" w:eastAsia="it-IT"/>
        </w:rPr>
        <w:t xml:space="preserve"> </w:t>
      </w:r>
    </w:p>
    <w:p w14:paraId="23E58691" w14:textId="77777777" w:rsidR="00925730" w:rsidRPr="00925730" w:rsidRDefault="00925730" w:rsidP="00925730">
      <w:pPr>
        <w:spacing w:line="240" w:lineRule="auto"/>
        <w:jc w:val="center"/>
        <w:rPr>
          <w:rFonts w:ascii="Helvetica" w:eastAsia="Times New Roman" w:hAnsi="Helvetica" w:cs="Helvetica"/>
          <w:color w:val="333333"/>
          <w:sz w:val="24"/>
          <w:szCs w:val="24"/>
          <w:lang w:eastAsia="it-IT"/>
        </w:rPr>
      </w:pPr>
      <w:r w:rsidRPr="00925730">
        <w:rPr>
          <w:rFonts w:ascii="Helvetica" w:eastAsia="Times New Roman" w:hAnsi="Helvetica" w:cs="Helvetica"/>
          <w:noProof/>
          <w:color w:val="333333"/>
          <w:sz w:val="24"/>
          <w:szCs w:val="24"/>
          <w:lang w:eastAsia="it-IT"/>
        </w:rPr>
        <w:drawing>
          <wp:inline distT="0" distB="0" distL="0" distR="0" wp14:anchorId="2FFD9EAA" wp14:editId="2FDB6314">
            <wp:extent cx="6233160" cy="3116580"/>
            <wp:effectExtent l="0" t="0" r="0" b="762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3160" cy="3116580"/>
                    </a:xfrm>
                    <a:prstGeom prst="rect">
                      <a:avLst/>
                    </a:prstGeom>
                    <a:noFill/>
                    <a:ln>
                      <a:noFill/>
                    </a:ln>
                  </pic:spPr>
                </pic:pic>
              </a:graphicData>
            </a:graphic>
          </wp:inline>
        </w:drawing>
      </w:r>
    </w:p>
    <w:p w14:paraId="75894331" w14:textId="77777777" w:rsidR="00925730" w:rsidRPr="00925730" w:rsidRDefault="00925730" w:rsidP="00925730">
      <w:pPr>
        <w:spacing w:line="15" w:lineRule="atLeast"/>
        <w:rPr>
          <w:rFonts w:ascii="minion-pro" w:eastAsia="Times New Roman" w:hAnsi="minion-pro" w:cs="Helvetica"/>
          <w:vanish/>
          <w:color w:val="333333"/>
          <w:sz w:val="2"/>
          <w:szCs w:val="2"/>
          <w:lang w:eastAsia="it-IT"/>
        </w:rPr>
      </w:pPr>
      <w:r w:rsidRPr="00925730">
        <w:rPr>
          <w:rFonts w:ascii="minion-pro" w:eastAsia="Times New Roman" w:hAnsi="minion-pro" w:cs="Helvetica"/>
          <w:vanish/>
          <w:color w:val="333333"/>
          <w:sz w:val="2"/>
          <w:szCs w:val="2"/>
          <w:lang w:eastAsia="it-IT"/>
        </w:rPr>
        <w:t> </w:t>
      </w:r>
    </w:p>
    <w:p w14:paraId="2DE3B779" w14:textId="77777777" w:rsidR="00925730" w:rsidRPr="00925730" w:rsidRDefault="00925730" w:rsidP="00925730">
      <w:pPr>
        <w:spacing w:after="120" w:line="300" w:lineRule="atLeast"/>
        <w:outlineLvl w:val="0"/>
        <w:rPr>
          <w:rFonts w:ascii="Helvetica" w:eastAsia="Times New Roman" w:hAnsi="Helvetica" w:cs="Helvetica"/>
          <w:color w:val="333333"/>
          <w:kern w:val="36"/>
          <w:sz w:val="35"/>
          <w:szCs w:val="35"/>
          <w:lang w:val="en-US" w:eastAsia="it-IT"/>
        </w:rPr>
      </w:pPr>
      <w:r w:rsidRPr="00925730">
        <w:rPr>
          <w:rFonts w:ascii="Helvetica" w:eastAsia="Times New Roman" w:hAnsi="Helvetica" w:cs="Helvetica"/>
          <w:color w:val="333333"/>
          <w:kern w:val="36"/>
          <w:sz w:val="35"/>
          <w:szCs w:val="35"/>
          <w:lang w:val="en-US" w:eastAsia="it-IT"/>
        </w:rPr>
        <w:t xml:space="preserve">The </w:t>
      </w:r>
      <w:hyperlink r:id="rId11" w:tgtFrame="_blank" w:history="1">
        <w:r w:rsidRPr="00925730">
          <w:rPr>
            <w:rFonts w:ascii="Helvetica" w:eastAsia="Times New Roman" w:hAnsi="Helvetica" w:cs="Helvetica"/>
            <w:color w:val="00587B"/>
            <w:kern w:val="36"/>
            <w:sz w:val="35"/>
            <w:szCs w:val="35"/>
            <w:lang w:val="en-US" w:eastAsia="it-IT"/>
          </w:rPr>
          <w:t>European</w:t>
        </w:r>
      </w:hyperlink>
      <w:r w:rsidRPr="00925730">
        <w:rPr>
          <w:rFonts w:ascii="Helvetica" w:eastAsia="Times New Roman" w:hAnsi="Helvetica" w:cs="Helvetica"/>
          <w:color w:val="333333"/>
          <w:kern w:val="36"/>
          <w:sz w:val="35"/>
          <w:szCs w:val="35"/>
          <w:lang w:val="en-US" w:eastAsia="it-IT"/>
        </w:rPr>
        <w:t xml:space="preserve"> Chemicals Agency (ECHA) has updated its list of Substances of Very High Concern (SVHC) with three materials that are </w:t>
      </w:r>
      <w:hyperlink r:id="rId12" w:tgtFrame="_blank" w:history="1">
        <w:r w:rsidRPr="00925730">
          <w:rPr>
            <w:rFonts w:ascii="Helvetica" w:eastAsia="Times New Roman" w:hAnsi="Helvetica" w:cs="Helvetica"/>
            <w:color w:val="00587B"/>
            <w:kern w:val="36"/>
            <w:sz w:val="35"/>
            <w:szCs w:val="35"/>
            <w:lang w:val="en-US" w:eastAsia="it-IT"/>
          </w:rPr>
          <w:t>toxic to reproduction</w:t>
        </w:r>
      </w:hyperlink>
      <w:r w:rsidRPr="00925730">
        <w:rPr>
          <w:rFonts w:ascii="Helvetica" w:eastAsia="Times New Roman" w:hAnsi="Helvetica" w:cs="Helvetica"/>
          <w:color w:val="333333"/>
          <w:kern w:val="36"/>
          <w:sz w:val="35"/>
          <w:szCs w:val="35"/>
          <w:lang w:val="en-US" w:eastAsia="it-IT"/>
        </w:rPr>
        <w:t xml:space="preserve"> and one endocrine disruptor familiar to cosmetic formulators: butylparaben.</w:t>
      </w:r>
    </w:p>
    <w:p w14:paraId="14025C6D"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i/>
          <w:iCs/>
          <w:color w:val="333333"/>
          <w:sz w:val="27"/>
          <w:szCs w:val="27"/>
          <w:lang w:val="en-US" w:eastAsia="it-IT"/>
        </w:rPr>
        <w:t>Related: </w:t>
      </w:r>
      <w:hyperlink r:id="rId13" w:tgtFrame="_blank" w:history="1">
        <w:r w:rsidRPr="00925730">
          <w:rPr>
            <w:rFonts w:ascii="minion-pro" w:eastAsia="Times New Roman" w:hAnsi="minion-pro" w:cs="Times New Roman"/>
            <w:i/>
            <w:iCs/>
            <w:color w:val="00587B"/>
            <w:sz w:val="27"/>
            <w:szCs w:val="27"/>
            <w:lang w:val="en-US" w:eastAsia="it-IT"/>
          </w:rPr>
          <w:t>ECHA Wavers on Resorcinol's Proposed SVHC Status</w:t>
        </w:r>
      </w:hyperlink>
    </w:p>
    <w:p w14:paraId="39A06F4E"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color w:val="333333"/>
          <w:sz w:val="27"/>
          <w:szCs w:val="27"/>
          <w:lang w:val="en-US" w:eastAsia="it-IT"/>
        </w:rPr>
        <w:t xml:space="preserve">The candidate list of substances of very high concern (SVHCs) now contains 209 substances that may have serious effects on people or the environment. While the three materials of concern over reproductive toxicity are used in industrial processes to produce polymers, coating products and plastics, butylparaben is a well-known cosmetic </w:t>
      </w:r>
      <w:hyperlink r:id="rId14" w:tgtFrame="_blank" w:history="1">
        <w:r w:rsidRPr="00925730">
          <w:rPr>
            <w:rFonts w:ascii="minion-pro" w:eastAsia="Times New Roman" w:hAnsi="minion-pro" w:cs="Times New Roman"/>
            <w:color w:val="00587B"/>
            <w:sz w:val="27"/>
            <w:szCs w:val="27"/>
            <w:lang w:val="en-US" w:eastAsia="it-IT"/>
          </w:rPr>
          <w:t xml:space="preserve">preservative </w:t>
        </w:r>
      </w:hyperlink>
      <w:r w:rsidRPr="00925730">
        <w:rPr>
          <w:rFonts w:ascii="minion-pro" w:eastAsia="Times New Roman" w:hAnsi="minion-pro" w:cs="Helvetica"/>
          <w:color w:val="333333"/>
          <w:sz w:val="27"/>
          <w:szCs w:val="27"/>
          <w:lang w:val="en-US" w:eastAsia="it-IT"/>
        </w:rPr>
        <w:t>and fragrance ingredient.</w:t>
      </w:r>
    </w:p>
    <w:p w14:paraId="5ADAD588"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color w:val="333333"/>
          <w:sz w:val="27"/>
          <w:szCs w:val="27"/>
          <w:lang w:val="en-US" w:eastAsia="it-IT"/>
        </w:rPr>
        <w:t xml:space="preserve">Companies are urged to check their legal obligations relating to the safe use of these substances. From January 2021, companies must notify the agency, via ECHA’s upcoming SCIP database, of the present substances of concern in articles and products. The </w:t>
      </w:r>
      <w:hyperlink r:id="rId15" w:tgtFrame="_blank" w:history="1">
        <w:r w:rsidRPr="00925730">
          <w:rPr>
            <w:rFonts w:ascii="minion-pro" w:eastAsia="Times New Roman" w:hAnsi="minion-pro" w:cs="Times New Roman"/>
            <w:color w:val="00587B"/>
            <w:sz w:val="27"/>
            <w:szCs w:val="27"/>
            <w:lang w:val="en-US" w:eastAsia="it-IT"/>
          </w:rPr>
          <w:t xml:space="preserve">database </w:t>
        </w:r>
      </w:hyperlink>
      <w:r w:rsidRPr="00925730">
        <w:rPr>
          <w:rFonts w:ascii="minion-pro" w:eastAsia="Times New Roman" w:hAnsi="minion-pro" w:cs="Helvetica"/>
          <w:color w:val="333333"/>
          <w:sz w:val="27"/>
          <w:szCs w:val="27"/>
          <w:lang w:val="en-US" w:eastAsia="it-IT"/>
        </w:rPr>
        <w:t>aims to ensure transparent information on articles containing hazardous chemicals throughout their whole lifecycle.</w:t>
      </w:r>
    </w:p>
    <w:p w14:paraId="183EA637"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color w:val="333333"/>
          <w:sz w:val="27"/>
          <w:szCs w:val="27"/>
          <w:lang w:val="en-US" w:eastAsia="it-IT"/>
        </w:rPr>
        <w:t xml:space="preserve">“Chemicals on the candidate list are among the most regulated in the EU and we aim to gradually phase them out,” says Christel Musset, ECHA’s director of hazard assessment. </w:t>
      </w:r>
      <w:r w:rsidRPr="00925730">
        <w:rPr>
          <w:rFonts w:ascii="minion-pro" w:eastAsia="Times New Roman" w:hAnsi="minion-pro" w:cs="Helvetica"/>
          <w:color w:val="333333"/>
          <w:sz w:val="27"/>
          <w:szCs w:val="27"/>
          <w:lang w:val="en-US" w:eastAsia="it-IT"/>
        </w:rPr>
        <w:lastRenderedPageBreak/>
        <w:t>“In the meanwhile, companies need to ensure safe usage and be transparent toward consumers who have the right to know where these chemicals are used. Substituting them with safer alternatives can boost innovation and create a more sustainable circular economy.”</w:t>
      </w:r>
    </w:p>
    <w:p w14:paraId="367B3D5C"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i/>
          <w:iCs/>
          <w:color w:val="333333"/>
          <w:sz w:val="27"/>
          <w:szCs w:val="27"/>
          <w:lang w:val="en-US" w:eastAsia="it-IT"/>
        </w:rPr>
        <w:t>Previously: </w:t>
      </w:r>
      <w:hyperlink r:id="rId16" w:tgtFrame="_blank" w:history="1">
        <w:r w:rsidRPr="00925730">
          <w:rPr>
            <w:rFonts w:ascii="minion-pro" w:eastAsia="Times New Roman" w:hAnsi="minion-pro" w:cs="Times New Roman"/>
            <w:i/>
            <w:iCs/>
            <w:color w:val="00587B"/>
            <w:sz w:val="27"/>
            <w:szCs w:val="27"/>
            <w:lang w:val="en-US" w:eastAsia="it-IT"/>
          </w:rPr>
          <w:t>ECHA Speeds Regulatory Action for Hazardous Chemicals</w:t>
        </w:r>
      </w:hyperlink>
    </w:p>
    <w:p w14:paraId="30EDC0CC"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color w:val="333333"/>
          <w:sz w:val="27"/>
          <w:szCs w:val="27"/>
          <w:lang w:val="en-US" w:eastAsia="it-IT"/>
        </w:rPr>
        <w:t>Provided by the ECHA, these are the substances added to the Candidate List for authorization on June 25, 2020:</w:t>
      </w:r>
    </w:p>
    <w:p w14:paraId="2C0A2BCD"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color w:val="333333"/>
          <w:sz w:val="27"/>
          <w:szCs w:val="27"/>
          <w:lang w:val="en-US" w:eastAsia="it-IT"/>
        </w:rPr>
        <w:t>1-Vinylimi</w:t>
      </w:r>
      <w:r w:rsidRPr="00925730">
        <w:rPr>
          <w:rFonts w:ascii="minion-pro" w:eastAsia="Times New Roman" w:hAnsi="minion-pro" w:cs="Helvetica"/>
          <w:color w:val="333333"/>
          <w:sz w:val="27"/>
          <w:szCs w:val="27"/>
          <w:lang w:val="en-US" w:eastAsia="it-IT"/>
        </w:rPr>
        <w:softHyphen/>
        <w:t>dazole, 2-Methylim</w:t>
      </w:r>
      <w:r w:rsidRPr="00925730">
        <w:rPr>
          <w:rFonts w:ascii="minion-pro" w:eastAsia="Times New Roman" w:hAnsi="minion-pro" w:cs="Helvetica"/>
          <w:color w:val="333333"/>
          <w:sz w:val="27"/>
          <w:szCs w:val="27"/>
          <w:lang w:val="en-US" w:eastAsia="it-IT"/>
        </w:rPr>
        <w:softHyphen/>
        <w:t>idazole and </w:t>
      </w:r>
      <w:proofErr w:type="spellStart"/>
      <w:r w:rsidRPr="00925730">
        <w:rPr>
          <w:rFonts w:ascii="minion-pro" w:eastAsia="Times New Roman" w:hAnsi="minion-pro" w:cs="Helvetica"/>
          <w:color w:val="333333"/>
          <w:sz w:val="27"/>
          <w:szCs w:val="27"/>
          <w:lang w:val="en-US" w:eastAsia="it-IT"/>
        </w:rPr>
        <w:t>dibutylb</w:t>
      </w:r>
      <w:r w:rsidRPr="00925730">
        <w:rPr>
          <w:rFonts w:ascii="minion-pro" w:eastAsia="Times New Roman" w:hAnsi="minion-pro" w:cs="Helvetica"/>
          <w:color w:val="333333"/>
          <w:sz w:val="27"/>
          <w:szCs w:val="27"/>
          <w:lang w:val="en-US" w:eastAsia="it-IT"/>
        </w:rPr>
        <w:softHyphen/>
        <w:t>is</w:t>
      </w:r>
      <w:proofErr w:type="spellEnd"/>
      <w:r w:rsidRPr="00925730">
        <w:rPr>
          <w:rFonts w:ascii="minion-pro" w:eastAsia="Times New Roman" w:hAnsi="minion-pro" w:cs="Helvetica"/>
          <w:color w:val="333333"/>
          <w:sz w:val="27"/>
          <w:szCs w:val="27"/>
          <w:lang w:val="en-US" w:eastAsia="it-IT"/>
        </w:rPr>
        <w:t>(pentane-2,4-dionato-</w:t>
      </w:r>
      <w:proofErr w:type="gramStart"/>
      <w:r w:rsidRPr="00925730">
        <w:rPr>
          <w:rFonts w:ascii="minion-pro" w:eastAsia="Times New Roman" w:hAnsi="minion-pro" w:cs="Helvetica"/>
          <w:color w:val="333333"/>
          <w:sz w:val="27"/>
          <w:szCs w:val="27"/>
          <w:lang w:val="en-US" w:eastAsia="it-IT"/>
        </w:rPr>
        <w:t>O,O</w:t>
      </w:r>
      <w:proofErr w:type="gramEnd"/>
      <w:r w:rsidRPr="00925730">
        <w:rPr>
          <w:rFonts w:ascii="minion-pro" w:eastAsia="Times New Roman" w:hAnsi="minion-pro" w:cs="Helvetica"/>
          <w:color w:val="333333"/>
          <w:sz w:val="27"/>
          <w:szCs w:val="27"/>
          <w:lang w:val="en-US" w:eastAsia="it-IT"/>
        </w:rPr>
        <w:t>')tin were included in the list due to the chemicals being toxic for reproduction; butylparaben was included due to its endocrine-disrupting properties, which can be hazardous to human health.</w:t>
      </w:r>
    </w:p>
    <w:p w14:paraId="1D3F1B36"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color w:val="333333"/>
          <w:sz w:val="27"/>
          <w:szCs w:val="27"/>
          <w:lang w:val="en-US" w:eastAsia="it-IT"/>
        </w:rPr>
        <w:t>1-Vinylimi</w:t>
      </w:r>
      <w:r w:rsidRPr="00925730">
        <w:rPr>
          <w:rFonts w:ascii="minion-pro" w:eastAsia="Times New Roman" w:hAnsi="minion-pro" w:cs="Helvetica"/>
          <w:color w:val="333333"/>
          <w:sz w:val="27"/>
          <w:szCs w:val="27"/>
          <w:lang w:val="en-US" w:eastAsia="it-IT"/>
        </w:rPr>
        <w:softHyphen/>
        <w:t>dazole is typically used in formulations and as a monomer in the production of polymers; 2-Methylim</w:t>
      </w:r>
      <w:r w:rsidRPr="00925730">
        <w:rPr>
          <w:rFonts w:ascii="minion-pro" w:eastAsia="Times New Roman" w:hAnsi="minion-pro" w:cs="Helvetica"/>
          <w:color w:val="333333"/>
          <w:sz w:val="27"/>
          <w:szCs w:val="27"/>
          <w:lang w:val="en-US" w:eastAsia="it-IT"/>
        </w:rPr>
        <w:softHyphen/>
        <w:t>idazole is a catalyst in the production of coating products; </w:t>
      </w:r>
      <w:proofErr w:type="spellStart"/>
      <w:r w:rsidRPr="00925730">
        <w:rPr>
          <w:rFonts w:ascii="minion-pro" w:eastAsia="Times New Roman" w:hAnsi="minion-pro" w:cs="Helvetica"/>
          <w:color w:val="333333"/>
          <w:sz w:val="27"/>
          <w:szCs w:val="27"/>
          <w:lang w:val="en-US" w:eastAsia="it-IT"/>
        </w:rPr>
        <w:t>dibutylb</w:t>
      </w:r>
      <w:r w:rsidRPr="00925730">
        <w:rPr>
          <w:rFonts w:ascii="minion-pro" w:eastAsia="Times New Roman" w:hAnsi="minion-pro" w:cs="Helvetica"/>
          <w:color w:val="333333"/>
          <w:sz w:val="27"/>
          <w:szCs w:val="27"/>
          <w:lang w:val="en-US" w:eastAsia="it-IT"/>
        </w:rPr>
        <w:softHyphen/>
        <w:t>is</w:t>
      </w:r>
      <w:proofErr w:type="spellEnd"/>
      <w:r w:rsidRPr="00925730">
        <w:rPr>
          <w:rFonts w:ascii="minion-pro" w:eastAsia="Times New Roman" w:hAnsi="minion-pro" w:cs="Helvetica"/>
          <w:color w:val="333333"/>
          <w:sz w:val="27"/>
          <w:szCs w:val="27"/>
          <w:lang w:val="en-US" w:eastAsia="it-IT"/>
        </w:rPr>
        <w:t>(pentane-2,4-dionato-O,O')tin is a catalyst and an additive in the production of plastics; and butylparaben is typically used in cosmetics, personal care products and pharmace</w:t>
      </w:r>
      <w:r w:rsidRPr="00925730">
        <w:rPr>
          <w:rFonts w:ascii="minion-pro" w:eastAsia="Times New Roman" w:hAnsi="minion-pro" w:cs="Helvetica"/>
          <w:color w:val="333333"/>
          <w:sz w:val="27"/>
          <w:szCs w:val="27"/>
          <w:lang w:val="en-US" w:eastAsia="it-IT"/>
        </w:rPr>
        <w:softHyphen/>
        <w:t>uticals.</w:t>
      </w:r>
    </w:p>
    <w:p w14:paraId="1903A1E3"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color w:val="333333"/>
          <w:sz w:val="27"/>
          <w:szCs w:val="27"/>
          <w:lang w:val="en-US" w:eastAsia="it-IT"/>
        </w:rPr>
        <w:t>Of the 209 substances now on the Candidate List of SVHCs for authoriz</w:t>
      </w:r>
      <w:r w:rsidRPr="00925730">
        <w:rPr>
          <w:rFonts w:ascii="minion-pro" w:eastAsia="Times New Roman" w:hAnsi="minion-pro" w:cs="Helvetica"/>
          <w:color w:val="333333"/>
          <w:sz w:val="27"/>
          <w:szCs w:val="27"/>
          <w:lang w:val="en-US" w:eastAsia="it-IT"/>
        </w:rPr>
        <w:softHyphen/>
        <w:t>ation, a large majority are carcinogenic, mutagenic or toxic to reproduction. Many of them have several hazardous properties.</w:t>
      </w:r>
    </w:p>
    <w:p w14:paraId="3B664EF1" w14:textId="77777777" w:rsidR="00925730" w:rsidRPr="00925730" w:rsidRDefault="00925730" w:rsidP="00925730">
      <w:pPr>
        <w:spacing w:after="165"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color w:val="333333"/>
          <w:sz w:val="27"/>
          <w:szCs w:val="27"/>
          <w:lang w:val="en-US" w:eastAsia="it-IT"/>
        </w:rPr>
        <w:t>The ECHA noted its Member State Committee was involved in the decision to add butyl 4-hydroxyb</w:t>
      </w:r>
      <w:r w:rsidRPr="00925730">
        <w:rPr>
          <w:rFonts w:ascii="minion-pro" w:eastAsia="Times New Roman" w:hAnsi="minion-pro" w:cs="Helvetica"/>
          <w:color w:val="333333"/>
          <w:sz w:val="27"/>
          <w:szCs w:val="27"/>
          <w:lang w:val="en-US" w:eastAsia="it-IT"/>
        </w:rPr>
        <w:softHyphen/>
        <w:t xml:space="preserve">enzoate and </w:t>
      </w:r>
      <w:proofErr w:type="spellStart"/>
      <w:r w:rsidRPr="00925730">
        <w:rPr>
          <w:rFonts w:ascii="minion-pro" w:eastAsia="Times New Roman" w:hAnsi="minion-pro" w:cs="Helvetica"/>
          <w:color w:val="333333"/>
          <w:sz w:val="27"/>
          <w:szCs w:val="27"/>
          <w:lang w:val="en-US" w:eastAsia="it-IT"/>
        </w:rPr>
        <w:t>dibutylb</w:t>
      </w:r>
      <w:r w:rsidRPr="00925730">
        <w:rPr>
          <w:rFonts w:ascii="minion-pro" w:eastAsia="Times New Roman" w:hAnsi="minion-pro" w:cs="Helvetica"/>
          <w:color w:val="333333"/>
          <w:sz w:val="27"/>
          <w:szCs w:val="27"/>
          <w:lang w:val="en-US" w:eastAsia="it-IT"/>
        </w:rPr>
        <w:softHyphen/>
        <w:t>is</w:t>
      </w:r>
      <w:proofErr w:type="spellEnd"/>
      <w:r w:rsidRPr="00925730">
        <w:rPr>
          <w:rFonts w:ascii="minion-pro" w:eastAsia="Times New Roman" w:hAnsi="minion-pro" w:cs="Helvetica"/>
          <w:color w:val="333333"/>
          <w:sz w:val="27"/>
          <w:szCs w:val="27"/>
          <w:lang w:val="en-US" w:eastAsia="it-IT"/>
        </w:rPr>
        <w:t>(pentane-2,4-dionato-</w:t>
      </w:r>
      <w:proofErr w:type="gramStart"/>
      <w:r w:rsidRPr="00925730">
        <w:rPr>
          <w:rFonts w:ascii="minion-pro" w:eastAsia="Times New Roman" w:hAnsi="minion-pro" w:cs="Helvetica"/>
          <w:color w:val="333333"/>
          <w:sz w:val="27"/>
          <w:szCs w:val="27"/>
          <w:lang w:val="en-US" w:eastAsia="it-IT"/>
        </w:rPr>
        <w:t>O,O</w:t>
      </w:r>
      <w:proofErr w:type="gramEnd"/>
      <w:r w:rsidRPr="00925730">
        <w:rPr>
          <w:rFonts w:ascii="minion-pro" w:eastAsia="Times New Roman" w:hAnsi="minion-pro" w:cs="Helvetica"/>
          <w:color w:val="333333"/>
          <w:sz w:val="27"/>
          <w:szCs w:val="27"/>
          <w:lang w:val="en-US" w:eastAsia="it-IT"/>
        </w:rPr>
        <w:t>')tin to the list.</w:t>
      </w:r>
    </w:p>
    <w:p w14:paraId="5EEF4658" w14:textId="77777777" w:rsidR="00925730" w:rsidRPr="00925730" w:rsidRDefault="00925730" w:rsidP="00925730">
      <w:pPr>
        <w:spacing w:line="240" w:lineRule="auto"/>
        <w:rPr>
          <w:rFonts w:ascii="minion-pro" w:eastAsia="Times New Roman" w:hAnsi="minion-pro" w:cs="Helvetica"/>
          <w:color w:val="333333"/>
          <w:sz w:val="27"/>
          <w:szCs w:val="27"/>
          <w:lang w:val="en-US" w:eastAsia="it-IT"/>
        </w:rPr>
      </w:pPr>
      <w:r w:rsidRPr="00925730">
        <w:rPr>
          <w:rFonts w:ascii="minion-pro" w:eastAsia="Times New Roman" w:hAnsi="minion-pro" w:cs="Helvetica"/>
          <w:i/>
          <w:iCs/>
          <w:color w:val="333333"/>
          <w:sz w:val="27"/>
          <w:szCs w:val="27"/>
          <w:lang w:val="en-US" w:eastAsia="it-IT"/>
        </w:rPr>
        <w:t xml:space="preserve">For more information, visit the </w:t>
      </w:r>
      <w:hyperlink r:id="rId17" w:tgtFrame="_blank" w:history="1">
        <w:r w:rsidRPr="00925730">
          <w:rPr>
            <w:rFonts w:ascii="minion-pro" w:eastAsia="Times New Roman" w:hAnsi="minion-pro" w:cs="Times New Roman"/>
            <w:i/>
            <w:iCs/>
            <w:color w:val="00587B"/>
            <w:sz w:val="27"/>
            <w:szCs w:val="27"/>
            <w:lang w:val="en-US" w:eastAsia="it-IT"/>
          </w:rPr>
          <w:t>ECHA website</w:t>
        </w:r>
      </w:hyperlink>
      <w:r w:rsidRPr="00925730">
        <w:rPr>
          <w:rFonts w:ascii="minion-pro" w:eastAsia="Times New Roman" w:hAnsi="minion-pro" w:cs="Helvetica"/>
          <w:i/>
          <w:iCs/>
          <w:color w:val="333333"/>
          <w:sz w:val="27"/>
          <w:szCs w:val="27"/>
          <w:lang w:val="en-US" w:eastAsia="it-IT"/>
        </w:rPr>
        <w:t>.</w:t>
      </w:r>
    </w:p>
    <w:p w14:paraId="5F76F484" w14:textId="77777777" w:rsidR="003A0A3F" w:rsidRPr="00925730" w:rsidRDefault="003A0A3F">
      <w:pPr>
        <w:rPr>
          <w:lang w:val="en-US"/>
        </w:rPr>
      </w:pPr>
    </w:p>
    <w:sectPr w:rsidR="003A0A3F" w:rsidRPr="009257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drich">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minion-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CC7"/>
    <w:multiLevelType w:val="multilevel"/>
    <w:tmpl w:val="701C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C1DBD"/>
    <w:multiLevelType w:val="multilevel"/>
    <w:tmpl w:val="2954E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BE005B"/>
    <w:multiLevelType w:val="multilevel"/>
    <w:tmpl w:val="8B08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2554D"/>
    <w:multiLevelType w:val="multilevel"/>
    <w:tmpl w:val="86FC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30"/>
    <w:rsid w:val="00304243"/>
    <w:rsid w:val="003A0A3F"/>
    <w:rsid w:val="009257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508C"/>
  <w15:chartTrackingRefBased/>
  <w15:docId w15:val="{B9EB6B3D-62CF-4787-8BA9-D6B45D64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98203">
      <w:bodyDiv w:val="1"/>
      <w:marLeft w:val="0"/>
      <w:marRight w:val="0"/>
      <w:marTop w:val="0"/>
      <w:marBottom w:val="0"/>
      <w:divBdr>
        <w:top w:val="none" w:sz="0" w:space="0" w:color="auto"/>
        <w:left w:val="none" w:sz="0" w:space="0" w:color="auto"/>
        <w:bottom w:val="none" w:sz="0" w:space="0" w:color="auto"/>
        <w:right w:val="none" w:sz="0" w:space="0" w:color="auto"/>
      </w:divBdr>
      <w:divsChild>
        <w:div w:id="2087221440">
          <w:marLeft w:val="0"/>
          <w:marRight w:val="0"/>
          <w:marTop w:val="0"/>
          <w:marBottom w:val="0"/>
          <w:divBdr>
            <w:top w:val="none" w:sz="0" w:space="0" w:color="auto"/>
            <w:left w:val="none" w:sz="0" w:space="0" w:color="auto"/>
            <w:bottom w:val="none" w:sz="0" w:space="0" w:color="auto"/>
            <w:right w:val="none" w:sz="0" w:space="0" w:color="auto"/>
          </w:divBdr>
          <w:divsChild>
            <w:div w:id="2139373804">
              <w:marLeft w:val="0"/>
              <w:marRight w:val="0"/>
              <w:marTop w:val="0"/>
              <w:marBottom w:val="0"/>
              <w:divBdr>
                <w:top w:val="none" w:sz="0" w:space="0" w:color="auto"/>
                <w:left w:val="none" w:sz="0" w:space="0" w:color="auto"/>
                <w:bottom w:val="none" w:sz="0" w:space="0" w:color="auto"/>
                <w:right w:val="none" w:sz="0" w:space="0" w:color="auto"/>
              </w:divBdr>
            </w:div>
            <w:div w:id="643434373">
              <w:marLeft w:val="0"/>
              <w:marRight w:val="0"/>
              <w:marTop w:val="0"/>
              <w:marBottom w:val="0"/>
              <w:divBdr>
                <w:top w:val="none" w:sz="0" w:space="0" w:color="auto"/>
                <w:left w:val="none" w:sz="0" w:space="0" w:color="auto"/>
                <w:bottom w:val="none" w:sz="0" w:space="0" w:color="auto"/>
                <w:right w:val="none" w:sz="0" w:space="0" w:color="auto"/>
              </w:divBdr>
            </w:div>
            <w:div w:id="1654522008">
              <w:marLeft w:val="0"/>
              <w:marRight w:val="0"/>
              <w:marTop w:val="0"/>
              <w:marBottom w:val="0"/>
              <w:divBdr>
                <w:top w:val="none" w:sz="0" w:space="0" w:color="auto"/>
                <w:left w:val="none" w:sz="0" w:space="0" w:color="auto"/>
                <w:bottom w:val="none" w:sz="0" w:space="0" w:color="auto"/>
                <w:right w:val="none" w:sz="0" w:space="0" w:color="auto"/>
              </w:divBdr>
              <w:divsChild>
                <w:div w:id="1956015671">
                  <w:marLeft w:val="0"/>
                  <w:marRight w:val="0"/>
                  <w:marTop w:val="0"/>
                  <w:marBottom w:val="0"/>
                  <w:divBdr>
                    <w:top w:val="none" w:sz="0" w:space="0" w:color="auto"/>
                    <w:left w:val="none" w:sz="0" w:space="0" w:color="auto"/>
                    <w:bottom w:val="none" w:sz="0" w:space="0" w:color="auto"/>
                    <w:right w:val="none" w:sz="0" w:space="0" w:color="auto"/>
                  </w:divBdr>
                </w:div>
              </w:divsChild>
            </w:div>
            <w:div w:id="2056849072">
              <w:marLeft w:val="0"/>
              <w:marRight w:val="0"/>
              <w:marTop w:val="0"/>
              <w:marBottom w:val="0"/>
              <w:divBdr>
                <w:top w:val="none" w:sz="0" w:space="0" w:color="auto"/>
                <w:left w:val="none" w:sz="0" w:space="0" w:color="auto"/>
                <w:bottom w:val="none" w:sz="0" w:space="0" w:color="auto"/>
                <w:right w:val="none" w:sz="0" w:space="0" w:color="auto"/>
              </w:divBdr>
              <w:divsChild>
                <w:div w:id="1401825059">
                  <w:marLeft w:val="0"/>
                  <w:marRight w:val="0"/>
                  <w:marTop w:val="0"/>
                  <w:marBottom w:val="0"/>
                  <w:divBdr>
                    <w:top w:val="none" w:sz="0" w:space="0" w:color="auto"/>
                    <w:left w:val="none" w:sz="0" w:space="0" w:color="auto"/>
                    <w:bottom w:val="none" w:sz="0" w:space="0" w:color="auto"/>
                    <w:right w:val="none" w:sz="0" w:space="0" w:color="auto"/>
                  </w:divBdr>
                </w:div>
              </w:divsChild>
            </w:div>
            <w:div w:id="460265664">
              <w:marLeft w:val="0"/>
              <w:marRight w:val="0"/>
              <w:marTop w:val="0"/>
              <w:marBottom w:val="0"/>
              <w:divBdr>
                <w:top w:val="none" w:sz="0" w:space="0" w:color="auto"/>
                <w:left w:val="none" w:sz="0" w:space="0" w:color="auto"/>
                <w:bottom w:val="none" w:sz="0" w:space="0" w:color="auto"/>
                <w:right w:val="none" w:sz="0" w:space="0" w:color="auto"/>
              </w:divBdr>
            </w:div>
          </w:divsChild>
        </w:div>
        <w:div w:id="246305917">
          <w:marLeft w:val="0"/>
          <w:marRight w:val="0"/>
          <w:marTop w:val="0"/>
          <w:marBottom w:val="0"/>
          <w:divBdr>
            <w:top w:val="none" w:sz="0" w:space="0" w:color="auto"/>
            <w:left w:val="none" w:sz="0" w:space="0" w:color="auto"/>
            <w:bottom w:val="none" w:sz="0" w:space="0" w:color="auto"/>
            <w:right w:val="none" w:sz="0" w:space="0" w:color="auto"/>
          </w:divBdr>
          <w:divsChild>
            <w:div w:id="569652571">
              <w:marLeft w:val="0"/>
              <w:marRight w:val="0"/>
              <w:marTop w:val="0"/>
              <w:marBottom w:val="0"/>
              <w:divBdr>
                <w:top w:val="none" w:sz="0" w:space="0" w:color="auto"/>
                <w:left w:val="none" w:sz="0" w:space="0" w:color="auto"/>
                <w:bottom w:val="none" w:sz="0" w:space="0" w:color="auto"/>
                <w:right w:val="none" w:sz="0" w:space="0" w:color="auto"/>
              </w:divBdr>
              <w:divsChild>
                <w:div w:id="1934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6164">
          <w:marLeft w:val="0"/>
          <w:marRight w:val="0"/>
          <w:marTop w:val="0"/>
          <w:marBottom w:val="0"/>
          <w:divBdr>
            <w:top w:val="none" w:sz="0" w:space="0" w:color="auto"/>
            <w:left w:val="none" w:sz="0" w:space="0" w:color="auto"/>
            <w:bottom w:val="none" w:sz="0" w:space="0" w:color="auto"/>
            <w:right w:val="none" w:sz="0" w:space="0" w:color="auto"/>
          </w:divBdr>
          <w:divsChild>
            <w:div w:id="7954081">
              <w:marLeft w:val="0"/>
              <w:marRight w:val="0"/>
              <w:marTop w:val="0"/>
              <w:marBottom w:val="300"/>
              <w:divBdr>
                <w:top w:val="none" w:sz="0" w:space="0" w:color="auto"/>
                <w:left w:val="none" w:sz="0" w:space="0" w:color="auto"/>
                <w:bottom w:val="none" w:sz="0" w:space="0" w:color="auto"/>
                <w:right w:val="none" w:sz="0" w:space="0" w:color="auto"/>
              </w:divBdr>
              <w:divsChild>
                <w:div w:id="1276013591">
                  <w:marLeft w:val="0"/>
                  <w:marRight w:val="-15"/>
                  <w:marTop w:val="0"/>
                  <w:marBottom w:val="0"/>
                  <w:divBdr>
                    <w:top w:val="none" w:sz="0" w:space="0" w:color="auto"/>
                    <w:left w:val="none" w:sz="0" w:space="0" w:color="auto"/>
                    <w:bottom w:val="none" w:sz="0" w:space="0" w:color="auto"/>
                    <w:right w:val="none" w:sz="0" w:space="0" w:color="auto"/>
                  </w:divBdr>
                  <w:divsChild>
                    <w:div w:id="1933277076">
                      <w:marLeft w:val="150"/>
                      <w:marRight w:val="0"/>
                      <w:marTop w:val="0"/>
                      <w:marBottom w:val="150"/>
                      <w:divBdr>
                        <w:top w:val="none" w:sz="0" w:space="0" w:color="auto"/>
                        <w:left w:val="none" w:sz="0" w:space="0" w:color="auto"/>
                        <w:bottom w:val="none" w:sz="0" w:space="0" w:color="auto"/>
                        <w:right w:val="none" w:sz="0" w:space="0" w:color="auto"/>
                      </w:divBdr>
                      <w:divsChild>
                        <w:div w:id="1600019529">
                          <w:marLeft w:val="0"/>
                          <w:marRight w:val="120"/>
                          <w:marTop w:val="0"/>
                          <w:marBottom w:val="0"/>
                          <w:divBdr>
                            <w:top w:val="none" w:sz="0" w:space="0" w:color="auto"/>
                            <w:left w:val="none" w:sz="0" w:space="0" w:color="auto"/>
                            <w:bottom w:val="none" w:sz="0" w:space="0" w:color="auto"/>
                            <w:right w:val="none" w:sz="0" w:space="0" w:color="auto"/>
                          </w:divBdr>
                        </w:div>
                        <w:div w:id="33577233">
                          <w:marLeft w:val="0"/>
                          <w:marRight w:val="120"/>
                          <w:marTop w:val="0"/>
                          <w:marBottom w:val="0"/>
                          <w:divBdr>
                            <w:top w:val="none" w:sz="0" w:space="0" w:color="auto"/>
                            <w:left w:val="none" w:sz="0" w:space="0" w:color="auto"/>
                            <w:bottom w:val="none" w:sz="0" w:space="0" w:color="auto"/>
                            <w:right w:val="none" w:sz="0" w:space="0" w:color="auto"/>
                          </w:divBdr>
                        </w:div>
                        <w:div w:id="113450083">
                          <w:marLeft w:val="0"/>
                          <w:marRight w:val="120"/>
                          <w:marTop w:val="0"/>
                          <w:marBottom w:val="0"/>
                          <w:divBdr>
                            <w:top w:val="none" w:sz="0" w:space="0" w:color="auto"/>
                            <w:left w:val="none" w:sz="0" w:space="0" w:color="auto"/>
                            <w:bottom w:val="none" w:sz="0" w:space="0" w:color="auto"/>
                            <w:right w:val="none" w:sz="0" w:space="0" w:color="auto"/>
                          </w:divBdr>
                        </w:div>
                        <w:div w:id="165900267">
                          <w:marLeft w:val="0"/>
                          <w:marRight w:val="120"/>
                          <w:marTop w:val="0"/>
                          <w:marBottom w:val="0"/>
                          <w:divBdr>
                            <w:top w:val="none" w:sz="0" w:space="0" w:color="auto"/>
                            <w:left w:val="none" w:sz="0" w:space="0" w:color="auto"/>
                            <w:bottom w:val="none" w:sz="0" w:space="0" w:color="auto"/>
                            <w:right w:val="none" w:sz="0" w:space="0" w:color="auto"/>
                          </w:divBdr>
                        </w:div>
                        <w:div w:id="739718361">
                          <w:marLeft w:val="0"/>
                          <w:marRight w:val="120"/>
                          <w:marTop w:val="0"/>
                          <w:marBottom w:val="0"/>
                          <w:divBdr>
                            <w:top w:val="none" w:sz="0" w:space="0" w:color="auto"/>
                            <w:left w:val="none" w:sz="0" w:space="0" w:color="auto"/>
                            <w:bottom w:val="none" w:sz="0" w:space="0" w:color="auto"/>
                            <w:right w:val="none" w:sz="0" w:space="0" w:color="auto"/>
                          </w:divBdr>
                        </w:div>
                        <w:div w:id="71584596">
                          <w:marLeft w:val="0"/>
                          <w:marRight w:val="120"/>
                          <w:marTop w:val="0"/>
                          <w:marBottom w:val="0"/>
                          <w:divBdr>
                            <w:top w:val="none" w:sz="0" w:space="0" w:color="auto"/>
                            <w:left w:val="none" w:sz="0" w:space="0" w:color="auto"/>
                            <w:bottom w:val="none" w:sz="0" w:space="0" w:color="auto"/>
                            <w:right w:val="none" w:sz="0" w:space="0" w:color="auto"/>
                          </w:divBdr>
                        </w:div>
                      </w:divsChild>
                    </w:div>
                    <w:div w:id="1927570993">
                      <w:marLeft w:val="0"/>
                      <w:marRight w:val="0"/>
                      <w:marTop w:val="0"/>
                      <w:marBottom w:val="0"/>
                      <w:divBdr>
                        <w:top w:val="none" w:sz="0" w:space="0" w:color="auto"/>
                        <w:left w:val="none" w:sz="0" w:space="0" w:color="auto"/>
                        <w:bottom w:val="none" w:sz="0" w:space="0" w:color="auto"/>
                        <w:right w:val="none" w:sz="0" w:space="0" w:color="auto"/>
                      </w:divBdr>
                      <w:divsChild>
                        <w:div w:id="1388651342">
                          <w:marLeft w:val="0"/>
                          <w:marRight w:val="0"/>
                          <w:marTop w:val="0"/>
                          <w:marBottom w:val="0"/>
                          <w:divBdr>
                            <w:top w:val="single" w:sz="18" w:space="6" w:color="DDDDDD"/>
                            <w:left w:val="single" w:sz="18" w:space="6" w:color="DDDDDD"/>
                            <w:bottom w:val="single" w:sz="18" w:space="6" w:color="DDDDDD"/>
                            <w:right w:val="single" w:sz="18" w:space="6" w:color="DDDDDD"/>
                          </w:divBdr>
                          <w:divsChild>
                            <w:div w:id="4278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8206">
                      <w:marLeft w:val="0"/>
                      <w:marRight w:val="0"/>
                      <w:marTop w:val="150"/>
                      <w:marBottom w:val="150"/>
                      <w:divBdr>
                        <w:top w:val="none" w:sz="0" w:space="0" w:color="auto"/>
                        <w:left w:val="none" w:sz="0" w:space="0" w:color="auto"/>
                        <w:bottom w:val="none" w:sz="0" w:space="0" w:color="auto"/>
                        <w:right w:val="none" w:sz="0" w:space="0" w:color="auto"/>
                      </w:divBdr>
                    </w:div>
                  </w:divsChild>
                </w:div>
                <w:div w:id="495465469">
                  <w:marLeft w:val="15"/>
                  <w:marRight w:val="0"/>
                  <w:marTop w:val="0"/>
                  <w:marBottom w:val="0"/>
                  <w:divBdr>
                    <w:top w:val="none" w:sz="0" w:space="0" w:color="auto"/>
                    <w:left w:val="none" w:sz="0" w:space="0" w:color="auto"/>
                    <w:bottom w:val="none" w:sz="0" w:space="0" w:color="auto"/>
                    <w:right w:val="none" w:sz="0" w:space="0" w:color="auto"/>
                  </w:divBdr>
                  <w:divsChild>
                    <w:div w:id="79330320">
                      <w:marLeft w:val="0"/>
                      <w:marRight w:val="0"/>
                      <w:marTop w:val="150"/>
                      <w:marBottom w:val="150"/>
                      <w:divBdr>
                        <w:top w:val="single" w:sz="6" w:space="4" w:color="CCCCCC"/>
                        <w:left w:val="single" w:sz="6" w:space="8" w:color="CCCCCC"/>
                        <w:bottom w:val="single" w:sz="6" w:space="4" w:color="CCCCCC"/>
                        <w:right w:val="single" w:sz="6" w:space="8" w:color="CCCCCC"/>
                      </w:divBdr>
                      <w:divsChild>
                        <w:div w:id="8372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0316">
                  <w:marLeft w:val="0"/>
                  <w:marRight w:val="0"/>
                  <w:marTop w:val="0"/>
                  <w:marBottom w:val="0"/>
                  <w:divBdr>
                    <w:top w:val="none" w:sz="0" w:space="0" w:color="auto"/>
                    <w:left w:val="none" w:sz="0" w:space="0" w:color="auto"/>
                    <w:bottom w:val="none" w:sz="0" w:space="0" w:color="auto"/>
                    <w:right w:val="none" w:sz="0" w:space="0" w:color="auto"/>
                  </w:divBdr>
                  <w:divsChild>
                    <w:div w:id="861630697">
                      <w:marLeft w:val="0"/>
                      <w:marRight w:val="0"/>
                      <w:marTop w:val="0"/>
                      <w:marBottom w:val="0"/>
                      <w:divBdr>
                        <w:top w:val="none" w:sz="0" w:space="0" w:color="auto"/>
                        <w:left w:val="none" w:sz="0" w:space="0" w:color="auto"/>
                        <w:bottom w:val="none" w:sz="0" w:space="0" w:color="auto"/>
                        <w:right w:val="none" w:sz="0" w:space="0" w:color="auto"/>
                      </w:divBdr>
                      <w:divsChild>
                        <w:div w:id="198133039">
                          <w:marLeft w:val="3"/>
                          <w:marRight w:val="0"/>
                          <w:marTop w:val="0"/>
                          <w:marBottom w:val="150"/>
                          <w:divBdr>
                            <w:top w:val="single" w:sz="6" w:space="0" w:color="DDDDDD"/>
                            <w:left w:val="single" w:sz="6" w:space="8" w:color="DDDDDD"/>
                            <w:bottom w:val="single" w:sz="6" w:space="0" w:color="DDDDDD"/>
                            <w:right w:val="single" w:sz="2" w:space="4" w:color="DDDDDD"/>
                          </w:divBdr>
                        </w:div>
                      </w:divsChild>
                    </w:div>
                    <w:div w:id="7940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smeticsandtoiletries.com/ECHA%20Wavers%20on%20Resorcinol's%20Proposed%20SVHC%20Sta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smeticsandtoiletries.com/" TargetMode="External"/><Relationship Id="rId12" Type="http://schemas.openxmlformats.org/officeDocument/2006/relationships/hyperlink" Target="https://www.cosmeticsandtoiletries.com/testing/toxicityanalysis/" TargetMode="External"/><Relationship Id="rId17" Type="http://schemas.openxmlformats.org/officeDocument/2006/relationships/hyperlink" Target="https://echa.europa.eu/-/candidate-list-update-four-new-hazardous-chemicals-to-be-phased-out" TargetMode="External"/><Relationship Id="rId2" Type="http://schemas.openxmlformats.org/officeDocument/2006/relationships/styles" Target="styles.xml"/><Relationship Id="rId16" Type="http://schemas.openxmlformats.org/officeDocument/2006/relationships/hyperlink" Target="https://www.cosmeticsandtoiletries.com/testing/chemicalanalysis/ECHA-Speeds-Regulatory-Action-for-Hazardous-Chemicals-571055501.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smeticsandtoiletries.com/regulatory/region/europe/" TargetMode="External"/><Relationship Id="rId5" Type="http://schemas.openxmlformats.org/officeDocument/2006/relationships/hyperlink" Target="https://www.cosmeticsandtoiletries.com/magazine/pastissues/2020/571506321.html" TargetMode="External"/><Relationship Id="rId15" Type="http://schemas.openxmlformats.org/officeDocument/2006/relationships/hyperlink" Target="https://www.cosmeticsandtoiletries.com/research/techtransfe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smeticsandtoiletries.com/regulatory/region/europe/Butylparaben-Blacklisted-as-ECHA-Substance-of-High-Concern-571490171.html?utm_source=newsletter-html&amp;utm_medium=email&amp;utm_campaign=CT+E-Newsletter+06-29-2020&amp;absrc=hdl" TargetMode="External"/><Relationship Id="rId14" Type="http://schemas.openxmlformats.org/officeDocument/2006/relationships/hyperlink" Target="https://www.cosmeticsandtoiletries.com/formulating/function/preservativ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Zago</dc:creator>
  <cp:keywords/>
  <dc:description/>
  <cp:lastModifiedBy>Fabrizio Zago</cp:lastModifiedBy>
  <cp:revision>2</cp:revision>
  <dcterms:created xsi:type="dcterms:W3CDTF">2020-07-12T10:57:00Z</dcterms:created>
  <dcterms:modified xsi:type="dcterms:W3CDTF">2020-07-20T10:26:00Z</dcterms:modified>
</cp:coreProperties>
</file>