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FF" w:rsidRPr="002F48FF" w:rsidRDefault="002F48FF" w:rsidP="002F48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00014"/>
          <w:kern w:val="36"/>
          <w:sz w:val="40"/>
          <w:szCs w:val="40"/>
          <w:lang w:eastAsia="it-IT"/>
        </w:rPr>
      </w:pPr>
      <w:r w:rsidRPr="002F48FF">
        <w:rPr>
          <w:rFonts w:ascii="Arial" w:eastAsia="Times New Roman" w:hAnsi="Arial" w:cs="Arial"/>
          <w:color w:val="900014"/>
          <w:kern w:val="36"/>
          <w:sz w:val="40"/>
          <w:szCs w:val="40"/>
          <w:lang w:eastAsia="it-IT"/>
        </w:rPr>
        <w:t>https://ilbolive.unipd.it/</w:t>
      </w:r>
    </w:p>
    <w:p w:rsidR="002F48FF" w:rsidRPr="002F48FF" w:rsidRDefault="002F48FF" w:rsidP="002F48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00014"/>
          <w:kern w:val="36"/>
          <w:sz w:val="40"/>
          <w:szCs w:val="40"/>
          <w:lang w:eastAsia="it-IT"/>
        </w:rPr>
      </w:pPr>
      <w:r w:rsidRPr="002F48FF">
        <w:rPr>
          <w:rFonts w:ascii="Arial" w:eastAsia="Times New Roman" w:hAnsi="Arial" w:cs="Arial"/>
          <w:color w:val="900014"/>
          <w:kern w:val="36"/>
          <w:sz w:val="40"/>
          <w:szCs w:val="40"/>
          <w:lang w:eastAsia="it-IT"/>
        </w:rPr>
        <w:t>Punto cieco nella prevenzione delle pandemie: la tutela dell’ambiente</w:t>
      </w:r>
      <w:bookmarkStart w:id="0" w:name="_GoBack"/>
      <w:bookmarkEnd w:id="0"/>
    </w:p>
    <w:p w:rsidR="002F48FF" w:rsidRPr="002F48FF" w:rsidRDefault="002F48FF" w:rsidP="002F48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F48F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 </w:t>
      </w:r>
      <w:hyperlink r:id="rId5" w:history="1">
        <w:r w:rsidRPr="002F48FF">
          <w:rPr>
            <w:rFonts w:ascii="Arial" w:eastAsia="Times New Roman" w:hAnsi="Arial" w:cs="Arial"/>
            <w:b/>
            <w:bCs/>
            <w:color w:val="AE0B1D"/>
            <w:sz w:val="28"/>
            <w:szCs w:val="28"/>
            <w:u w:val="single"/>
            <w:lang w:eastAsia="it-IT"/>
          </w:rPr>
          <w:t>Francesco Suman</w:t>
        </w:r>
      </w:hyperlink>
    </w:p>
    <w:p w:rsidR="002F48FF" w:rsidRPr="002F48FF" w:rsidRDefault="002F48FF" w:rsidP="002F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48F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F48FF" w:rsidRPr="002F48FF" w:rsidRDefault="002F48FF" w:rsidP="002F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48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0345475" wp14:editId="2692C126">
            <wp:extent cx="6156160" cy="3238353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973" cy="324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L’Organizzazione mondiale della sanità (Oms) rilascia ogni anno un rapporto sulle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malattie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per cui sono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prioritari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investimenti in ricerca e sviluppo in quanto potenziali cause di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emergenze sanitarie globali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. A </w:t>
      </w:r>
      <w:hyperlink r:id="rId7" w:history="1">
        <w:r w:rsidRPr="002F48FF">
          <w:rPr>
            <w:rFonts w:ascii="Arial" w:eastAsia="Times New Roman" w:hAnsi="Arial" w:cs="Arial"/>
            <w:color w:val="AE0B1D"/>
            <w:sz w:val="24"/>
            <w:szCs w:val="24"/>
            <w:u w:val="single"/>
            <w:lang w:eastAsia="it-IT"/>
          </w:rPr>
          <w:t>febbraio 2018</w:t>
        </w:r>
      </w:hyperlink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, alla lista contenente la febbre emorragica Congo-Crimea, Ebola, </w:t>
      </w:r>
      <w:proofErr w:type="spell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t>Mers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proofErr w:type="spell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t>Sars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, la febbre Lassa, </w:t>
      </w:r>
      <w:proofErr w:type="spell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t>Nipah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, la febbre della Rift Valley e </w:t>
      </w:r>
      <w:proofErr w:type="spell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t>Zika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, è stata aggiunta una voce titolata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malattia X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non ancora registrata, ma la cui probabilità di comparsa andava aumentando.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In un recente articolo del </w:t>
      </w:r>
      <w:hyperlink r:id="rId8" w:history="1">
        <w:r w:rsidRPr="002F48FF">
          <w:rPr>
            <w:rFonts w:ascii="Arial" w:eastAsia="Times New Roman" w:hAnsi="Arial" w:cs="Arial"/>
            <w:i/>
            <w:iCs/>
            <w:color w:val="AE0B1D"/>
            <w:sz w:val="24"/>
            <w:szCs w:val="24"/>
            <w:u w:val="single"/>
            <w:lang w:eastAsia="it-IT"/>
          </w:rPr>
          <w:t>New York Times</w:t>
        </w:r>
      </w:hyperlink>
      <w:r w:rsidRPr="002F48FF">
        <w:rPr>
          <w:rFonts w:ascii="Arial" w:eastAsia="Times New Roman" w:hAnsi="Arial" w:cs="Arial"/>
          <w:sz w:val="24"/>
          <w:szCs w:val="24"/>
          <w:lang w:eastAsia="it-IT"/>
        </w:rPr>
        <w:t>,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Peter </w:t>
      </w:r>
      <w:proofErr w:type="spellStart"/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Daszak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, tra i membri del comitato Oms che ha stilato quella lista, ha ricordato le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caratteristiche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che la malattia X avrebbe dovuto avere: si sarebbe dovuto trattare di un virus trasferito dagli animali all’uomo, in una zona del pianeta in cui le interazioni con la fauna selvatica sono frequenti; inizialmente sarebbe stata confusa con altre malattie, come un’influenza, salvo poi rivelarsi più pericolosa per la salute individuale o per la società; si sarebbe diffusa rapidamente, sfruttando lo spostamento delle persone e i commerci; avrebbe messo in crisi i mercati finanziari prima ancora di diventare una pandemia.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Il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coronavirus Sars-CoV-2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risponde alla perfezione all’identikit delineato 2 anni fa dai virologi ed epidemiologi dell’Oms. Come tanti piccoli granelli di sabbia, il virus si è insinuato tra gli ingranaggi di un </w:t>
      </w:r>
      <w:hyperlink r:id="rId9" w:history="1">
        <w:r w:rsidRPr="002F48FF">
          <w:rPr>
            <w:rFonts w:ascii="Arial" w:eastAsia="Times New Roman" w:hAnsi="Arial" w:cs="Arial"/>
            <w:color w:val="AE0B1D"/>
            <w:sz w:val="24"/>
            <w:szCs w:val="24"/>
            <w:u w:val="single"/>
            <w:lang w:eastAsia="it-IT"/>
          </w:rPr>
          <w:t>capitalismo </w:t>
        </w:r>
      </w:hyperlink>
      <w:hyperlink r:id="rId10" w:history="1">
        <w:r w:rsidRPr="002F48FF">
          <w:rPr>
            <w:rFonts w:ascii="Arial" w:eastAsia="Times New Roman" w:hAnsi="Arial" w:cs="Arial"/>
            <w:i/>
            <w:iCs/>
            <w:color w:val="AE0B1D"/>
            <w:sz w:val="24"/>
            <w:szCs w:val="24"/>
            <w:u w:val="single"/>
            <w:lang w:eastAsia="it-IT"/>
          </w:rPr>
          <w:t>just in time</w:t>
        </w:r>
      </w:hyperlink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: ha inceppato un sistema produttivo tanto complesso quanto fragile, ha anestetizzato la domanda di consumi, ha mandato in tilt gli algoritmi della finanza che, non essendo programmati per tener conto di 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lastRenderedPageBreak/>
        <w:t>una pandemia, alla prima frenata hanno automaticamente iniziato a vendere, facendo crollare le borse (Milano il 9 marzo ha chiuso a -11%).</w:t>
      </w:r>
    </w:p>
    <w:p w:rsidR="002F48FF" w:rsidRPr="002F48FF" w:rsidRDefault="002F48FF" w:rsidP="002F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48F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="t" fillcolor="#a0a0a0" stroked="f"/>
        </w:pic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LEGGI ANCHE</w:t>
      </w:r>
    </w:p>
    <w:p w:rsidR="002F48FF" w:rsidRPr="002F48FF" w:rsidRDefault="002F48FF" w:rsidP="002F4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2F48FF">
          <w:rPr>
            <w:rFonts w:ascii="Times New Roman" w:eastAsia="Times New Roman" w:hAnsi="Times New Roman" w:cs="Times New Roman"/>
            <w:i/>
            <w:iCs/>
            <w:color w:val="AE0B1D"/>
            <w:sz w:val="24"/>
            <w:szCs w:val="24"/>
            <w:u w:val="single"/>
            <w:lang w:eastAsia="it-IT"/>
          </w:rPr>
          <w:t>La globalizzazione alla prova del virus</w:t>
        </w:r>
      </w:hyperlink>
    </w:p>
    <w:p w:rsidR="002F48FF" w:rsidRPr="002F48FF" w:rsidRDefault="002F48FF" w:rsidP="002F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48F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0" o:hralign="center" o:hrstd="t" o:hr="t" fillcolor="#a0a0a0" stroked="f"/>
        </w:pic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Da un giorno all’altro abbiamo scoperto che il nostro mondo globalizzato, colossale impianto per dimensioni e connessioni, ha in un essere minuscolo il suo più acerrimo nemico. L'uomo del nuovo millennio si era illuso di aver definitivamente debellato le minacce epidemiche che hanno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segnato la sua storia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recente e remota.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Il nuovo coronavirus è stato definito un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cigno nero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una tempesta perfetta, inattesa e devastante. Eppure, la diffusione di un virus che attacca l’uomo e le sue attività non solo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non è un evento inatteso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come testimonia il rapporto dell’Oms, ma addirittura è una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conseguenza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prevedibile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dell'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incontrollata espansione antropica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. A ribadirlo e denunciarlo è un articolo pubblicato su </w:t>
      </w:r>
      <w:proofErr w:type="spell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fldChar w:fldCharType="begin"/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instrText xml:space="preserve"> HYPERLINK "https://www.pnas.org/content/117/8/3888" </w:instrTex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2F48FF">
        <w:rPr>
          <w:rFonts w:ascii="Arial" w:eastAsia="Times New Roman" w:hAnsi="Arial" w:cs="Arial"/>
          <w:i/>
          <w:iCs/>
          <w:color w:val="AE0B1D"/>
          <w:sz w:val="24"/>
          <w:szCs w:val="24"/>
          <w:u w:val="single"/>
          <w:lang w:eastAsia="it-IT"/>
        </w:rPr>
        <w:t>Pnas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(</w:t>
      </w:r>
      <w:proofErr w:type="spellStart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Proceedings</w:t>
      </w:r>
      <w:proofErr w:type="spellEnd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of the National Academy of Sciences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) da un gruppo internazionale di ricercatori capeggiato da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Moreno Di Marco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ecologo del dipartimento di biologia e biotecnologia dell’università La Sapienza di Roma.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Circa il 70% delle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malattie infettive emergenti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(</w:t>
      </w:r>
      <w:proofErr w:type="spellStart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Emerging</w:t>
      </w:r>
      <w:proofErr w:type="spellEnd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  <w:proofErr w:type="spellStart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infectious</w:t>
      </w:r>
      <w:proofErr w:type="spellEnd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  <w:proofErr w:type="spellStart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diseases</w:t>
      </w:r>
      <w:proofErr w:type="spellEnd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- </w:t>
      </w:r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Eid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), e pressoché la totalità delle più recenti, ha origine dalla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ravvicinata convivenza tra umani e animali selvatici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o domestici. Dei </w:t>
      </w:r>
      <w:hyperlink r:id="rId12" w:history="1">
        <w:r w:rsidRPr="002F48FF">
          <w:rPr>
            <w:rFonts w:ascii="Arial" w:eastAsia="Times New Roman" w:hAnsi="Arial" w:cs="Arial"/>
            <w:color w:val="AE0B1D"/>
            <w:sz w:val="24"/>
            <w:szCs w:val="24"/>
            <w:u w:val="single"/>
            <w:lang w:eastAsia="it-IT"/>
          </w:rPr>
          <w:t>1400 patogeni</w:t>
        </w:r>
      </w:hyperlink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 umani già conosciuti (tra batteri, parassiti, funghi, virus e protozoi), 860 sono di natura </w:t>
      </w:r>
      <w:proofErr w:type="spell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t>zoonosica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, ovvero di origine animale: circa il 60%.</w:t>
      </w:r>
    </w:p>
    <w:p w:rsidR="002F48FF" w:rsidRPr="002F48FF" w:rsidRDefault="002F48FF" w:rsidP="002F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48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7E810C9" wp14:editId="3A7AEB45">
            <wp:extent cx="6156482" cy="2820863"/>
            <wp:effectExtent l="0" t="0" r="0" b="0"/>
            <wp:docPr id="4" name="Immagine 4" descr="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76" cy="282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La mappa mostra i luoghi in cui vi è il rischio stimato di emergenza di zoonosi. Allen et al 2017 </w:t>
      </w:r>
      <w:proofErr w:type="spell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t>Nat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 Comm fig. 3b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lastRenderedPageBreak/>
        <w:t>Come riporta un articolo su </w:t>
      </w:r>
      <w:hyperlink r:id="rId14" w:history="1">
        <w:r w:rsidRPr="002F48FF">
          <w:rPr>
            <w:rFonts w:ascii="Arial" w:eastAsia="Times New Roman" w:hAnsi="Arial" w:cs="Arial"/>
            <w:i/>
            <w:iCs/>
            <w:color w:val="AE0B1D"/>
            <w:sz w:val="24"/>
            <w:szCs w:val="24"/>
            <w:u w:val="single"/>
            <w:lang w:eastAsia="it-IT"/>
          </w:rPr>
          <w:t>Nature Communications</w:t>
        </w:r>
      </w:hyperlink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firmato dal gruppo di </w:t>
      </w:r>
      <w:proofErr w:type="spell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t>Daszak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, la comparsa di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zoonosi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è tanto più probabile quanto maggiore è l’alterazione antropogenica dell’ambiente naturale come la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deforestazione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l’espansione di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terreni a uso agricolo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l’intensificazione dell’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allevamento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della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caccia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e del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commercio illegale di specie selvatiche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La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frammentazione degli habitat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porta al declino dell’abbondanza e della diversità di specie animali che fungono da naturale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serbatoio dei patogeni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. Distruggendo questi serbatoi si ha lo </w:t>
      </w:r>
      <w:proofErr w:type="spellStart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spillover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, ormai celebre titolo del libro di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David </w:t>
      </w:r>
      <w:proofErr w:type="spellStart"/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Quammen</w:t>
      </w:r>
      <w:proofErr w:type="spellEnd"/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del 2012, che letteralmente significa “riversamento” e che sta a indicare il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salto di specie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da un animale a un altro di cui il virus ha maggiore disponibilità: l’uomo.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Proprio l’autore di </w:t>
      </w:r>
      <w:proofErr w:type="spellStart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Spillover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 nel suo libro sosteneva che finita una pandemia, occorre immediatamente pensare alla successiva, per prevenirne gli effetti catastrofici. La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malattia di </w:t>
      </w:r>
      <w:proofErr w:type="spellStart"/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Nipah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gram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t>un encefalite</w:t>
      </w:r>
      <w:proofErr w:type="gram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 con occasionali sintomi respiratori, ad esempio è comparsa nel 1998 in Malesia, dove gli allevamenti di suini si erano spinti al limitare delle foreste tropicali dove vive il pipistrello della frutta. Anche la </w:t>
      </w:r>
      <w:proofErr w:type="spellStart"/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Sars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 (Cina, 2003) e l’</w:t>
      </w:r>
      <w:hyperlink r:id="rId15" w:history="1">
        <w:r w:rsidRPr="002F48FF">
          <w:rPr>
            <w:rFonts w:ascii="Arial" w:eastAsia="Times New Roman" w:hAnsi="Arial" w:cs="Arial"/>
            <w:b/>
            <w:bCs/>
            <w:color w:val="AE0B1D"/>
            <w:sz w:val="24"/>
            <w:szCs w:val="24"/>
            <w:u w:val="single"/>
            <w:lang w:eastAsia="it-IT"/>
          </w:rPr>
          <w:t>Ebola</w:t>
        </w:r>
      </w:hyperlink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(Africa occidentale, a più ondate) hanno avuto origine da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pipistrelli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che venivano cacciati o che abitavano regioni sottoposte a intenso sviluppo antropico.</w:t>
      </w:r>
    </w:p>
    <w:p w:rsidR="002F48FF" w:rsidRPr="002F48FF" w:rsidRDefault="002F48FF" w:rsidP="002F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48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CD8E64F" wp14:editId="3AA241F8">
            <wp:extent cx="6027381" cy="3170611"/>
            <wp:effectExtent l="0" t="0" r="0" b="0"/>
            <wp:docPr id="5" name="Immagine 5" descr="pipistr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pistrell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60" cy="31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Tyler Hicks/Getty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Abbiamo già avuto prova di quanto l’impatto economico di epidemie in regioni geografiche limitate possa essere devastante. La </w:t>
      </w:r>
      <w:proofErr w:type="spellStart"/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Sars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 del 2003 causata anch’essa da un coronavirus, l’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influenza suina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del 2009 provocata da una variante del virus H1N1, l’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Ebola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che ha colpito l’Africa occidentale dal 2013 al 2016 sono costate ciascuna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più di 10 miliardi di dollari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. A fine febbraio le stime dell’impatto economico del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nuovo coronavirus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superavano già i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150 miliardi di dollari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Di Marco e i coautori dell’articolo su </w:t>
      </w:r>
      <w:proofErr w:type="spellStart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Pnas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denunciano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che sebbene le tecnologie e gli strumenti di monitoraggio delle malattie con rischio pandemico si stiano sviluppando velocemente, le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politiche globali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di gestione del rischio sono ancora troppo incentrate 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lastRenderedPageBreak/>
        <w:t>sulla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reazione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(ricostruzione della catena epidemica, sviluppo di farmaci e vaccini per patogeni già noti) e troppo poco sulla </w:t>
      </w:r>
      <w:hyperlink r:id="rId17" w:history="1">
        <w:r w:rsidRPr="002F48FF">
          <w:rPr>
            <w:rFonts w:ascii="Arial" w:eastAsia="Times New Roman" w:hAnsi="Arial" w:cs="Arial"/>
            <w:b/>
            <w:bCs/>
            <w:color w:val="AE0B1D"/>
            <w:sz w:val="24"/>
            <w:szCs w:val="24"/>
            <w:u w:val="single"/>
            <w:lang w:eastAsia="it-IT"/>
          </w:rPr>
          <w:t>prevenzione</w:t>
        </w:r>
      </w:hyperlink>
      <w:r w:rsidRPr="002F48FF">
        <w:rPr>
          <w:rFonts w:ascii="Arial" w:eastAsia="Times New Roman" w:hAnsi="Arial" w:cs="Arial"/>
          <w:sz w:val="24"/>
          <w:szCs w:val="24"/>
          <w:lang w:eastAsia="it-IT"/>
        </w:rPr>
        <w:t>. Gli autori parlano di veri e propri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punti ciechi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(</w:t>
      </w:r>
      <w:proofErr w:type="spellStart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blind</w:t>
      </w:r>
      <w:proofErr w:type="spellEnd"/>
      <w:r w:rsidRPr="002F48F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spots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) della politica. Questi punti ciechi non solo vanno affrontati: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conviene affrontarli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. Non solo per salvaguardare la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salute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ma per far sì che gli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obiettivi di sviluppo sostenibile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vengano realizzati.</w:t>
      </w:r>
    </w:p>
    <w:p w:rsidR="002F48FF" w:rsidRPr="002F48FF" w:rsidRDefault="002F48FF" w:rsidP="002F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48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8081EC5" wp14:editId="304ECCD9">
            <wp:extent cx="6212205" cy="3880558"/>
            <wp:effectExtent l="0" t="0" r="0" b="5715"/>
            <wp:docPr id="6" name="Immagine 6" descr="obiettivi agenda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iettivi agenda 20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85" cy="388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Obiettivi dell'Agenda 2030 dell'Onu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L’obiettivo 3 dell’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Agenda 2030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dell’Onu per lo sviluppo sostenibile mira alla promozione del benessere a tutte le età. La riduzione del rischio di malattie infettive globali è relegata al punto 3.3. Altri obiettivi dell’Agenda 2030 lavorano di concerto con il 3.3, come il numero 15, volto a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conservare gli ecosistemi terrestri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o il numero 16, che favorisce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istituzioni solide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tramite cui poter governare le emergenze. Altri tuttavia possono risultare in contrasto, come il numero 2, che riguarda la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sicurezza alimentare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e che richiederà negli anni a venire un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aumento della produttività agricola e dei sistemi di allevamento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specialmente nei Paesi in via di sviluppo, dove il rischio di comparsa di zoonosi è più alto.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Se il maltrattamento dell'ambiente è un fattore che favorisce l'insorgere di malattie infettive a rischio epidemico, conflitti, carestie e altre forme di instabilità sociale contribuiscono alla loro diffusione. Una dieta povera di afflusso proteico ad esempio è un problema nei Paesi economicamente svantaggiati, ma l'eccessivo sfruttamento degli allevamenti e la deforestazione lo sono altrettanto.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Il raggiungimento di un obiettivo può allora significare la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rinuncia parziale a un altro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, fanno notare gli autori. La </w:t>
      </w:r>
      <w:proofErr w:type="gramStart"/>
      <w:r w:rsidRPr="002F48FF">
        <w:rPr>
          <w:rFonts w:ascii="Arial" w:eastAsia="Times New Roman" w:hAnsi="Arial" w:cs="Arial"/>
          <w:sz w:val="24"/>
          <w:szCs w:val="24"/>
          <w:lang w:eastAsia="it-IT"/>
        </w:rPr>
        <w:t>ricerca  internazionale</w:t>
      </w:r>
      <w:proofErr w:type="gram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 xml:space="preserve"> finora ha messo in relazione l’anidride carbonica in atmosfera con la conservazione degli habitat, la produzione di cibo con le emissioni, ma a loro dire non ha considerato a sufficienza il rischio di malattie infettive emergenti.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lastRenderedPageBreak/>
        <w:t>Le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politiche ambientali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devono invece promuovere con forza piani responsabili di sfruttamento dei terreni, ridurre la deforestazione e il contatto con specie animali potenzialmente rischiose. Gli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ecosistemi 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mantengono un ruolo insostituibile nella regolazione delle malattie, garantendo ai patogeni una dinamica biologica che riduce la probabilità di trasmissione all’uomo.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In termini di prevenzione delle epidemie, qualche passo nella giusta direzione è stato fatto, notano Di Marco e colleghi. L’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Oms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la </w:t>
      </w:r>
      <w:proofErr w:type="spellStart"/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Fao</w:t>
      </w:r>
      <w:proofErr w:type="spellEnd"/>
      <w:r w:rsidRPr="002F48FF">
        <w:rPr>
          <w:rFonts w:ascii="Arial" w:eastAsia="Times New Roman" w:hAnsi="Arial" w:cs="Arial"/>
          <w:sz w:val="24"/>
          <w:szCs w:val="24"/>
          <w:lang w:eastAsia="it-IT"/>
        </w:rPr>
        <w:t> (Onu) e l’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Organizzazione mondiale della sanità animale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hanno condiviso un’unica strategia di salute collettiva, </w:t>
      </w:r>
      <w:hyperlink r:id="rId19" w:history="1">
        <w:r w:rsidRPr="002F48FF">
          <w:rPr>
            <w:rFonts w:ascii="Arial" w:eastAsia="Times New Roman" w:hAnsi="Arial" w:cs="Arial"/>
            <w:i/>
            <w:iCs/>
            <w:color w:val="AE0B1D"/>
            <w:sz w:val="24"/>
            <w:szCs w:val="24"/>
            <w:u w:val="single"/>
            <w:lang w:eastAsia="it-IT"/>
          </w:rPr>
          <w:t xml:space="preserve">One </w:t>
        </w:r>
        <w:proofErr w:type="spellStart"/>
        <w:r w:rsidRPr="002F48FF">
          <w:rPr>
            <w:rFonts w:ascii="Arial" w:eastAsia="Times New Roman" w:hAnsi="Arial" w:cs="Arial"/>
            <w:i/>
            <w:iCs/>
            <w:color w:val="AE0B1D"/>
            <w:sz w:val="24"/>
            <w:szCs w:val="24"/>
            <w:u w:val="single"/>
            <w:lang w:eastAsia="it-IT"/>
          </w:rPr>
          <w:t>Health</w:t>
        </w:r>
        <w:proofErr w:type="spellEnd"/>
        <w:r w:rsidRPr="002F48FF">
          <w:rPr>
            <w:rFonts w:ascii="Arial" w:eastAsia="Times New Roman" w:hAnsi="Arial" w:cs="Arial"/>
            <w:i/>
            <w:iCs/>
            <w:color w:val="AE0B1D"/>
            <w:sz w:val="24"/>
            <w:szCs w:val="24"/>
            <w:u w:val="single"/>
            <w:lang w:eastAsia="it-IT"/>
          </w:rPr>
          <w:t> </w:t>
        </w:r>
        <w:proofErr w:type="spellStart"/>
        <w:r w:rsidRPr="002F48FF">
          <w:rPr>
            <w:rFonts w:ascii="Arial" w:eastAsia="Times New Roman" w:hAnsi="Arial" w:cs="Arial"/>
            <w:i/>
            <w:iCs/>
            <w:color w:val="AE0B1D"/>
            <w:sz w:val="24"/>
            <w:szCs w:val="24"/>
            <w:u w:val="single"/>
            <w:lang w:eastAsia="it-IT"/>
          </w:rPr>
          <w:t>Initiative</w:t>
        </w:r>
        <w:proofErr w:type="spellEnd"/>
      </w:hyperlink>
      <w:r w:rsidRPr="002F48FF">
        <w:rPr>
          <w:rFonts w:ascii="Arial" w:eastAsia="Times New Roman" w:hAnsi="Arial" w:cs="Arial"/>
          <w:sz w:val="24"/>
          <w:szCs w:val="24"/>
          <w:lang w:eastAsia="it-IT"/>
        </w:rPr>
        <w:t>, che si distingue per l’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approccio interdisciplinare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a questioni complesse che devono essere tenute in relazione tra loro.</w:t>
      </w:r>
    </w:p>
    <w:p w:rsidR="002F48FF" w:rsidRPr="002F48FF" w:rsidRDefault="002F48FF" w:rsidP="002F4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F48FF">
        <w:rPr>
          <w:rFonts w:ascii="Arial" w:eastAsia="Times New Roman" w:hAnsi="Arial" w:cs="Arial"/>
          <w:sz w:val="24"/>
          <w:szCs w:val="24"/>
          <w:lang w:eastAsia="it-IT"/>
        </w:rPr>
        <w:t>Il modello di sviluppo che ha garantito la linfa vitale alle economie dei Paesi industrializzati non può andare avanti all’infinito.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Cambiamento climatico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e 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rischio di pandemie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 sono due squilli d’allarme che non possono più rimanere inascoltati, nonostante alcuni leader mondiali si ostinano a fare orecchie da mercante. La risposta a quelli che sono due dei più pressanti problemi di questo secolo passa necessariamente per una concreta azione di</w:t>
      </w:r>
      <w:r w:rsidRPr="002F48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tutela dell’ambiente</w:t>
      </w:r>
      <w:r w:rsidRPr="002F48FF">
        <w:rPr>
          <w:rFonts w:ascii="Arial" w:eastAsia="Times New Roman" w:hAnsi="Arial" w:cs="Arial"/>
          <w:sz w:val="24"/>
          <w:szCs w:val="24"/>
          <w:lang w:eastAsia="it-IT"/>
        </w:rPr>
        <w:t>, della biodiversità e dei servizi ecosistemici.</w:t>
      </w:r>
    </w:p>
    <w:p w:rsidR="002B5EDA" w:rsidRDefault="002B5EDA"/>
    <w:sectPr w:rsidR="002B5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4FA"/>
    <w:multiLevelType w:val="multilevel"/>
    <w:tmpl w:val="5432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640D3"/>
    <w:multiLevelType w:val="multilevel"/>
    <w:tmpl w:val="409A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FF"/>
    <w:rsid w:val="002B5EDA"/>
    <w:rsid w:val="002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44C2"/>
  <w15:chartTrackingRefBased/>
  <w15:docId w15:val="{158122E7-3D9B-4B8F-9573-53D32C99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2/27/opinion/coronavirus-pandemics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ho.int/news-room/events/detail/2018/02/06/default-calendar/2018-annual-review-of-diseases-prioritized-under-the-research-anddevelopment-blueprint" TargetMode="External"/><Relationship Id="rId12" Type="http://schemas.openxmlformats.org/officeDocument/2006/relationships/hyperlink" Target="https://ilbolive.unipd.it/it/event/epidemie-pandemie-nuovo-millennio" TargetMode="External"/><Relationship Id="rId17" Type="http://schemas.openxmlformats.org/officeDocument/2006/relationships/hyperlink" Target="https://ilbolive.unipd.it/it/news/prevenzione-ci-salver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lbolive.unipd.it/it/news/coronavirus-economia-globalizzazione?fbclid=IwAR1cNDPjTt5Zla75RKBve69tx7x3vCo2CSPc6FDh1W1i2W_vxzEtcz7LejE" TargetMode="External"/><Relationship Id="rId5" Type="http://schemas.openxmlformats.org/officeDocument/2006/relationships/hyperlink" Target="https://ilbolive.unipd.it/it/taxonomy/term/1" TargetMode="External"/><Relationship Id="rId15" Type="http://schemas.openxmlformats.org/officeDocument/2006/relationships/hyperlink" Target="https://www.nature.com/articles/s41598-017-14727-9" TargetMode="External"/><Relationship Id="rId10" Type="http://schemas.openxmlformats.org/officeDocument/2006/relationships/hyperlink" Target="https://ilbolive.unipd.it/it/news/coronavirus-economia-globalizzazione?fbclid=IwAR1cNDPjTt5Zla75RKBve69tx7x3vCo2CSPc6FDh1W1i2W_vxzEtcz7LejE" TargetMode="External"/><Relationship Id="rId19" Type="http://schemas.openxmlformats.org/officeDocument/2006/relationships/hyperlink" Target="http://www.onehealthinitiativ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bolive.unipd.it/it/news/coronavirus-economia-globalizzazione?fbclid=IwAR1cNDPjTt5Zla75RKBve69tx7x3vCo2CSPc6FDh1W1i2W_vxzEtcz7LejE" TargetMode="External"/><Relationship Id="rId14" Type="http://schemas.openxmlformats.org/officeDocument/2006/relationships/hyperlink" Target="https://www.nature.com/articles/s41467-017-00923-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Zago</dc:creator>
  <cp:keywords/>
  <dc:description/>
  <cp:lastModifiedBy>Fabrizio Zago</cp:lastModifiedBy>
  <cp:revision>1</cp:revision>
  <dcterms:created xsi:type="dcterms:W3CDTF">2020-03-20T18:13:00Z</dcterms:created>
  <dcterms:modified xsi:type="dcterms:W3CDTF">2020-03-20T18:17:00Z</dcterms:modified>
</cp:coreProperties>
</file>